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B4FAF" w14:textId="77777777" w:rsidR="008F57BE" w:rsidRDefault="002A6F3D">
      <w:pPr>
        <w:spacing w:line="6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中国西电集团、中国西电</w:t>
      </w:r>
    </w:p>
    <w:p w14:paraId="1BCCE510" w14:textId="783459F5" w:rsidR="008F57BE" w:rsidRDefault="002A6F3D">
      <w:pPr>
        <w:spacing w:line="6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本部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若干岗位面向</w:t>
      </w:r>
      <w:r w:rsidR="00C540B9">
        <w:rPr>
          <w:rFonts w:ascii="方正小标宋_GBK" w:eastAsia="方正小标宋_GBK" w:hAnsi="方正小标宋_GBK" w:cs="方正小标宋_GBK" w:hint="eastAsia"/>
          <w:sz w:val="44"/>
          <w:szCs w:val="44"/>
        </w:rPr>
        <w:t>公司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内部公开招聘公告</w:t>
      </w:r>
    </w:p>
    <w:p w14:paraId="1E7C4D4A" w14:textId="77777777" w:rsidR="008F57BE" w:rsidRDefault="008F57BE">
      <w:pPr>
        <w:spacing w:line="6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14:paraId="21ADC562" w14:textId="77777777" w:rsidR="008F57BE" w:rsidRDefault="002A6F3D">
      <w:pPr>
        <w:spacing w:line="6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一、公司简介</w:t>
      </w:r>
    </w:p>
    <w:p w14:paraId="227A0E9B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中国西电集团有限公司（以下简称中国西电集团）成立于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1959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年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7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月，是以我国“一五”期间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156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项重点建设工程的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4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个项目为基础形成的，集科研、开发、制造、贸易、金融为一体的大型企业集团，隶属于中国电气装备集团有限公司。历经一个甲子的拼搏与发展，中国西电集团已经成为涵盖中压、高压、超高压、特高压交直流输配电设备和其他电工产品的研发制造、实验检测和服务基地。</w:t>
      </w:r>
    </w:p>
    <w:p w14:paraId="3F8F0728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中国西电电气股份有限公司（以下简称中国西电，股票代码：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601179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），是央企中国电气装备集团直接控股的上市公司，是我国最具规模的高压、超高压及特高压输配电成套设备研究开发、生产制造和试验检测的重要基地，也是国内唯一一家具有输配电一次设备成套生产制造能力的企业。</w:t>
      </w:r>
    </w:p>
    <w:p w14:paraId="6D1261DF" w14:textId="36950785" w:rsidR="008F57BE" w:rsidRDefault="002A6F3D">
      <w:pPr>
        <w:spacing w:line="660" w:lineRule="exact"/>
        <w:ind w:firstLineChars="200" w:firstLine="64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本次面向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公司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内部公开招聘岗位信息如下：</w:t>
      </w:r>
    </w:p>
    <w:p w14:paraId="754187C4" w14:textId="77777777" w:rsidR="008F57BE" w:rsidRDefault="002A6F3D">
      <w:pPr>
        <w:spacing w:line="6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二、招聘职位</w:t>
      </w:r>
    </w:p>
    <w:tbl>
      <w:tblPr>
        <w:tblW w:w="8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"/>
        <w:gridCol w:w="2616"/>
        <w:gridCol w:w="3171"/>
        <w:gridCol w:w="1779"/>
      </w:tblGrid>
      <w:tr w:rsidR="008F57BE" w14:paraId="78EF3235" w14:textId="77777777">
        <w:trPr>
          <w:trHeight w:val="473"/>
          <w:tblHeader/>
          <w:jc w:val="center"/>
        </w:trPr>
        <w:tc>
          <w:tcPr>
            <w:tcW w:w="1068" w:type="dxa"/>
            <w:vAlign w:val="center"/>
          </w:tcPr>
          <w:p w14:paraId="6E026FCC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2616" w:type="dxa"/>
            <w:vAlign w:val="center"/>
          </w:tcPr>
          <w:p w14:paraId="6E87E037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部门</w:t>
            </w:r>
          </w:p>
        </w:tc>
        <w:tc>
          <w:tcPr>
            <w:tcW w:w="3171" w:type="dxa"/>
            <w:vAlign w:val="center"/>
          </w:tcPr>
          <w:p w14:paraId="6DB1889A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岗位</w:t>
            </w:r>
          </w:p>
        </w:tc>
        <w:tc>
          <w:tcPr>
            <w:tcW w:w="1779" w:type="dxa"/>
            <w:vAlign w:val="center"/>
          </w:tcPr>
          <w:p w14:paraId="4ED26811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职数</w:t>
            </w:r>
          </w:p>
        </w:tc>
      </w:tr>
      <w:tr w:rsidR="008F57BE" w14:paraId="62717E06" w14:textId="77777777">
        <w:trPr>
          <w:trHeight w:val="473"/>
          <w:jc w:val="center"/>
        </w:trPr>
        <w:tc>
          <w:tcPr>
            <w:tcW w:w="1068" w:type="dxa"/>
            <w:vAlign w:val="center"/>
          </w:tcPr>
          <w:p w14:paraId="0B6619E3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14:paraId="66FBCC0A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办公室</w:t>
            </w:r>
          </w:p>
          <w:p w14:paraId="64CF8CC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（党委办公室）（董事会办公室）</w:t>
            </w:r>
          </w:p>
        </w:tc>
        <w:tc>
          <w:tcPr>
            <w:tcW w:w="3171" w:type="dxa"/>
            <w:vAlign w:val="center"/>
          </w:tcPr>
          <w:p w14:paraId="09586C6A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综合管理</w:t>
            </w:r>
          </w:p>
        </w:tc>
        <w:tc>
          <w:tcPr>
            <w:tcW w:w="1779" w:type="dxa"/>
            <w:vAlign w:val="center"/>
          </w:tcPr>
          <w:p w14:paraId="2043C1E0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768DE8A5" w14:textId="77777777">
        <w:trPr>
          <w:trHeight w:val="473"/>
          <w:jc w:val="center"/>
        </w:trPr>
        <w:tc>
          <w:tcPr>
            <w:tcW w:w="1068" w:type="dxa"/>
            <w:vAlign w:val="center"/>
          </w:tcPr>
          <w:p w14:paraId="36FC893E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14:paraId="1129D9EE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战略发展部</w:t>
            </w:r>
          </w:p>
        </w:tc>
        <w:tc>
          <w:tcPr>
            <w:tcW w:w="3171" w:type="dxa"/>
            <w:vAlign w:val="center"/>
          </w:tcPr>
          <w:p w14:paraId="0D9A411A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投资管理</w:t>
            </w:r>
          </w:p>
        </w:tc>
        <w:tc>
          <w:tcPr>
            <w:tcW w:w="1779" w:type="dxa"/>
            <w:vAlign w:val="center"/>
          </w:tcPr>
          <w:p w14:paraId="71C03A6A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2</w:t>
            </w:r>
          </w:p>
        </w:tc>
      </w:tr>
      <w:tr w:rsidR="008F57BE" w14:paraId="722B8E71" w14:textId="77777777">
        <w:trPr>
          <w:trHeight w:val="473"/>
          <w:jc w:val="center"/>
        </w:trPr>
        <w:tc>
          <w:tcPr>
            <w:tcW w:w="1068" w:type="dxa"/>
            <w:vAlign w:val="center"/>
          </w:tcPr>
          <w:p w14:paraId="3D22F0C3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3</w:t>
            </w:r>
          </w:p>
        </w:tc>
        <w:tc>
          <w:tcPr>
            <w:tcW w:w="2616" w:type="dxa"/>
            <w:vAlign w:val="center"/>
          </w:tcPr>
          <w:p w14:paraId="007B3532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制造与数字化部</w:t>
            </w:r>
          </w:p>
          <w:p w14:paraId="11B4762A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（安全质量部）</w:t>
            </w:r>
          </w:p>
        </w:tc>
        <w:tc>
          <w:tcPr>
            <w:tcW w:w="3171" w:type="dxa"/>
            <w:vAlign w:val="center"/>
          </w:tcPr>
          <w:p w14:paraId="5325E92C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采购管理</w:t>
            </w:r>
          </w:p>
        </w:tc>
        <w:tc>
          <w:tcPr>
            <w:tcW w:w="1779" w:type="dxa"/>
            <w:vAlign w:val="center"/>
          </w:tcPr>
          <w:p w14:paraId="706F2000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3A9F8356" w14:textId="77777777">
        <w:trPr>
          <w:trHeight w:val="684"/>
          <w:jc w:val="center"/>
        </w:trPr>
        <w:tc>
          <w:tcPr>
            <w:tcW w:w="1068" w:type="dxa"/>
            <w:vAlign w:val="center"/>
          </w:tcPr>
          <w:p w14:paraId="0C047B5E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4</w:t>
            </w:r>
          </w:p>
        </w:tc>
        <w:tc>
          <w:tcPr>
            <w:tcW w:w="2616" w:type="dxa"/>
            <w:vAlign w:val="center"/>
          </w:tcPr>
          <w:p w14:paraId="22FD716F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财务部</w:t>
            </w:r>
          </w:p>
        </w:tc>
        <w:tc>
          <w:tcPr>
            <w:tcW w:w="3171" w:type="dxa"/>
            <w:vAlign w:val="center"/>
          </w:tcPr>
          <w:p w14:paraId="6FF5703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融资与担保管理</w:t>
            </w:r>
          </w:p>
        </w:tc>
        <w:tc>
          <w:tcPr>
            <w:tcW w:w="1779" w:type="dxa"/>
            <w:vAlign w:val="center"/>
          </w:tcPr>
          <w:p w14:paraId="35DEACFF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426AB75D" w14:textId="77777777">
        <w:trPr>
          <w:trHeight w:val="634"/>
          <w:jc w:val="center"/>
        </w:trPr>
        <w:tc>
          <w:tcPr>
            <w:tcW w:w="1068" w:type="dxa"/>
            <w:vAlign w:val="center"/>
          </w:tcPr>
          <w:p w14:paraId="147E45C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5</w:t>
            </w:r>
          </w:p>
        </w:tc>
        <w:tc>
          <w:tcPr>
            <w:tcW w:w="2616" w:type="dxa"/>
            <w:vAlign w:val="center"/>
          </w:tcPr>
          <w:p w14:paraId="4B477400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人力资源部</w:t>
            </w:r>
          </w:p>
        </w:tc>
        <w:tc>
          <w:tcPr>
            <w:tcW w:w="3171" w:type="dxa"/>
            <w:vAlign w:val="center"/>
          </w:tcPr>
          <w:p w14:paraId="0F3A1140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改革事务</w:t>
            </w: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管理</w:t>
            </w:r>
          </w:p>
        </w:tc>
        <w:tc>
          <w:tcPr>
            <w:tcW w:w="1779" w:type="dxa"/>
            <w:vAlign w:val="center"/>
          </w:tcPr>
          <w:p w14:paraId="41B47148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5E6C4E47" w14:textId="77777777">
        <w:trPr>
          <w:trHeight w:val="708"/>
          <w:jc w:val="center"/>
        </w:trPr>
        <w:tc>
          <w:tcPr>
            <w:tcW w:w="1068" w:type="dxa"/>
            <w:vMerge w:val="restart"/>
            <w:vAlign w:val="center"/>
          </w:tcPr>
          <w:p w14:paraId="13094D52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6</w:t>
            </w:r>
          </w:p>
        </w:tc>
        <w:tc>
          <w:tcPr>
            <w:tcW w:w="2616" w:type="dxa"/>
            <w:vMerge w:val="restart"/>
            <w:vAlign w:val="center"/>
          </w:tcPr>
          <w:p w14:paraId="66E7F0CB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合规管理部</w:t>
            </w:r>
          </w:p>
          <w:p w14:paraId="6B0D89D0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（审计部）</w:t>
            </w:r>
          </w:p>
        </w:tc>
        <w:tc>
          <w:tcPr>
            <w:tcW w:w="3171" w:type="dxa"/>
            <w:vAlign w:val="center"/>
          </w:tcPr>
          <w:p w14:paraId="016CEA40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处室负责人</w:t>
            </w:r>
          </w:p>
        </w:tc>
        <w:tc>
          <w:tcPr>
            <w:tcW w:w="1779" w:type="dxa"/>
            <w:vAlign w:val="center"/>
          </w:tcPr>
          <w:p w14:paraId="4A634C20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3E3FC685" w14:textId="77777777">
        <w:trPr>
          <w:trHeight w:val="720"/>
          <w:jc w:val="center"/>
        </w:trPr>
        <w:tc>
          <w:tcPr>
            <w:tcW w:w="1068" w:type="dxa"/>
            <w:vMerge/>
            <w:vAlign w:val="center"/>
          </w:tcPr>
          <w:p w14:paraId="7C03D940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3AB255D3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669356F1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法律事务管理</w:t>
            </w:r>
          </w:p>
        </w:tc>
        <w:tc>
          <w:tcPr>
            <w:tcW w:w="1779" w:type="dxa"/>
            <w:vAlign w:val="center"/>
          </w:tcPr>
          <w:p w14:paraId="3D7B4CD8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318F6F5C" w14:textId="77777777">
        <w:trPr>
          <w:trHeight w:val="650"/>
          <w:jc w:val="center"/>
        </w:trPr>
        <w:tc>
          <w:tcPr>
            <w:tcW w:w="1068" w:type="dxa"/>
            <w:vMerge w:val="restart"/>
            <w:vAlign w:val="center"/>
          </w:tcPr>
          <w:p w14:paraId="2FAFC42B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7</w:t>
            </w:r>
          </w:p>
        </w:tc>
        <w:tc>
          <w:tcPr>
            <w:tcW w:w="2616" w:type="dxa"/>
            <w:vMerge w:val="restart"/>
            <w:vAlign w:val="center"/>
          </w:tcPr>
          <w:p w14:paraId="0505760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科技创新部</w:t>
            </w:r>
          </w:p>
        </w:tc>
        <w:tc>
          <w:tcPr>
            <w:tcW w:w="3171" w:type="dxa"/>
            <w:vAlign w:val="center"/>
          </w:tcPr>
          <w:p w14:paraId="3D8D73D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科技处处室负责人</w:t>
            </w:r>
          </w:p>
        </w:tc>
        <w:tc>
          <w:tcPr>
            <w:tcW w:w="1779" w:type="dxa"/>
            <w:vAlign w:val="center"/>
          </w:tcPr>
          <w:p w14:paraId="76A1A04C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639A28D9" w14:textId="77777777">
        <w:trPr>
          <w:trHeight w:val="751"/>
          <w:jc w:val="center"/>
        </w:trPr>
        <w:tc>
          <w:tcPr>
            <w:tcW w:w="1068" w:type="dxa"/>
            <w:vMerge/>
            <w:vAlign w:val="center"/>
          </w:tcPr>
          <w:p w14:paraId="66AFD7B0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02F26EC8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29909B17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成果转化处处室负责人</w:t>
            </w:r>
          </w:p>
        </w:tc>
        <w:tc>
          <w:tcPr>
            <w:tcW w:w="1779" w:type="dxa"/>
            <w:vAlign w:val="center"/>
          </w:tcPr>
          <w:p w14:paraId="2B9A902F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2AB6B5B4" w14:textId="77777777">
        <w:trPr>
          <w:trHeight w:val="718"/>
          <w:jc w:val="center"/>
        </w:trPr>
        <w:tc>
          <w:tcPr>
            <w:tcW w:w="1068" w:type="dxa"/>
            <w:vMerge/>
            <w:vAlign w:val="center"/>
          </w:tcPr>
          <w:p w14:paraId="2C1DFB81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15464235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4366A386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创新体系及科技考核</w:t>
            </w:r>
          </w:p>
        </w:tc>
        <w:tc>
          <w:tcPr>
            <w:tcW w:w="1779" w:type="dxa"/>
            <w:vAlign w:val="center"/>
          </w:tcPr>
          <w:p w14:paraId="539C3554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20C222D4" w14:textId="77777777">
        <w:trPr>
          <w:trHeight w:val="684"/>
          <w:jc w:val="center"/>
        </w:trPr>
        <w:tc>
          <w:tcPr>
            <w:tcW w:w="1068" w:type="dxa"/>
            <w:vMerge/>
            <w:vAlign w:val="center"/>
          </w:tcPr>
          <w:p w14:paraId="3E657A3B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560EF9FB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1798F624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科技规划及科技项目</w:t>
            </w:r>
          </w:p>
        </w:tc>
        <w:tc>
          <w:tcPr>
            <w:tcW w:w="1779" w:type="dxa"/>
            <w:vAlign w:val="center"/>
          </w:tcPr>
          <w:p w14:paraId="62278264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08987464" w14:textId="77777777">
        <w:trPr>
          <w:trHeight w:val="701"/>
          <w:jc w:val="center"/>
        </w:trPr>
        <w:tc>
          <w:tcPr>
            <w:tcW w:w="1068" w:type="dxa"/>
            <w:vMerge/>
            <w:vAlign w:val="center"/>
          </w:tcPr>
          <w:p w14:paraId="52BED317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7DB4FC68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234426EE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科技成果管理</w:t>
            </w:r>
          </w:p>
        </w:tc>
        <w:tc>
          <w:tcPr>
            <w:tcW w:w="1779" w:type="dxa"/>
            <w:vAlign w:val="center"/>
          </w:tcPr>
          <w:p w14:paraId="089649C3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  <w:tr w:rsidR="008F57BE" w14:paraId="7425F006" w14:textId="77777777">
        <w:trPr>
          <w:trHeight w:val="661"/>
          <w:jc w:val="center"/>
        </w:trPr>
        <w:tc>
          <w:tcPr>
            <w:tcW w:w="1068" w:type="dxa"/>
            <w:vMerge/>
            <w:vAlign w:val="center"/>
          </w:tcPr>
          <w:p w14:paraId="5BB5DCCB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2616" w:type="dxa"/>
            <w:vMerge/>
            <w:vAlign w:val="center"/>
          </w:tcPr>
          <w:p w14:paraId="6AE447FD" w14:textId="77777777" w:rsidR="008F57BE" w:rsidRDefault="008F57BE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</w:p>
        </w:tc>
        <w:tc>
          <w:tcPr>
            <w:tcW w:w="3171" w:type="dxa"/>
            <w:vAlign w:val="center"/>
          </w:tcPr>
          <w:p w14:paraId="52AA927F" w14:textId="77777777" w:rsidR="008F57BE" w:rsidRDefault="002A6F3D">
            <w:pPr>
              <w:jc w:val="center"/>
              <w:rPr>
                <w:rFonts w:ascii="仿宋_GB2312" w:eastAsia="仿宋_GB2312" w:hAnsi="仿宋" w:cs="Arial"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sz w:val="28"/>
                <w:szCs w:val="28"/>
              </w:rPr>
              <w:t>创新政策及合作转化</w:t>
            </w:r>
          </w:p>
        </w:tc>
        <w:tc>
          <w:tcPr>
            <w:tcW w:w="1779" w:type="dxa"/>
            <w:vAlign w:val="center"/>
          </w:tcPr>
          <w:p w14:paraId="74C2E707" w14:textId="77777777" w:rsidR="008F57BE" w:rsidRDefault="002A6F3D">
            <w:pPr>
              <w:jc w:val="center"/>
              <w:rPr>
                <w:rFonts w:ascii="仿宋_GB2312" w:eastAsia="仿宋_GB2312" w:hAnsi="仿宋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Arial" w:hint="eastAsia"/>
                <w:bCs/>
                <w:sz w:val="28"/>
                <w:szCs w:val="28"/>
              </w:rPr>
              <w:t>1</w:t>
            </w:r>
          </w:p>
        </w:tc>
      </w:tr>
    </w:tbl>
    <w:p w14:paraId="6E761960" w14:textId="77777777" w:rsidR="008F57BE" w:rsidRDefault="002A6F3D">
      <w:pPr>
        <w:spacing w:line="6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注：岗位职责、任职资格要求等见附件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一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-1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。</w:t>
      </w:r>
    </w:p>
    <w:p w14:paraId="43B87A2D" w14:textId="77777777" w:rsidR="008F57BE" w:rsidRDefault="002A6F3D">
      <w:pPr>
        <w:spacing w:line="6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三、应聘基本要求</w:t>
      </w:r>
    </w:p>
    <w:p w14:paraId="1733E565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1.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应聘人员应为中国西电集团、中国西电本部及所属单位在册在岗员工；</w:t>
      </w:r>
    </w:p>
    <w:p w14:paraId="3CF40D63" w14:textId="77777777" w:rsidR="008F57BE" w:rsidRDefault="002A6F3D">
      <w:pPr>
        <w:snapToGrid w:val="0"/>
        <w:spacing w:line="66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2.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应聘人员原则上应为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1980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日以后出生；</w:t>
      </w:r>
    </w:p>
    <w:p w14:paraId="79B2638E" w14:textId="77777777" w:rsidR="008F57BE" w:rsidRDefault="002A6F3D">
      <w:pPr>
        <w:snapToGrid w:val="0"/>
        <w:spacing w:line="660" w:lineRule="exact"/>
        <w:ind w:firstLineChars="200" w:firstLine="64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3.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应聘人员应具备全日制大学本科及以上学历；</w:t>
      </w:r>
    </w:p>
    <w:p w14:paraId="4BA2418F" w14:textId="77777777" w:rsidR="008F57BE" w:rsidRDefault="002A6F3D">
      <w:pPr>
        <w:snapToGrid w:val="0"/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4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具有强烈的创新意识，开拓进取，敢于负责、勇于担当、善于作为；勤奋敬业、真抓实干、工作业绩突出；</w:t>
      </w:r>
    </w:p>
    <w:p w14:paraId="2AB9F845" w14:textId="77777777" w:rsidR="008F57BE" w:rsidRDefault="002A6F3D">
      <w:pPr>
        <w:snapToGrid w:val="0"/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5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具有履行岗位职责所必须的专业知识，善于学习和把握市场机遇；具有出色的沟通、谈判能力；具备发展意识、市场意识及合作意识；具有良好的心理素质，身体健康，能够胜任应聘岗位工作要求；</w:t>
      </w:r>
    </w:p>
    <w:p w14:paraId="3B76496E" w14:textId="77777777" w:rsidR="008F57BE" w:rsidRDefault="002A6F3D">
      <w:pPr>
        <w:snapToGrid w:val="0"/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6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具有良好的职业操守和个人品行，遵纪守法、无违法、违规、违纪及其他不良记录。</w:t>
      </w:r>
    </w:p>
    <w:p w14:paraId="43EBDD0C" w14:textId="77777777" w:rsidR="008F57BE" w:rsidRDefault="002A6F3D">
      <w:pPr>
        <w:spacing w:line="660" w:lineRule="exact"/>
        <w:rPr>
          <w:rFonts w:ascii="黑体" w:eastAsia="黑体" w:hAnsi="黑体" w:cs="黑体"/>
          <w:bCs/>
          <w:color w:val="333333"/>
          <w:spacing w:val="10"/>
          <w:sz w:val="32"/>
          <w:szCs w:val="32"/>
        </w:rPr>
      </w:pPr>
      <w:r>
        <w:rPr>
          <w:rFonts w:ascii="黑体" w:eastAsia="黑体" w:hAnsi="黑体" w:cs="黑体" w:hint="eastAsia"/>
          <w:bCs/>
          <w:color w:val="333333"/>
          <w:spacing w:val="10"/>
          <w:sz w:val="32"/>
          <w:szCs w:val="32"/>
        </w:rPr>
        <w:t>四、投递要求</w:t>
      </w:r>
    </w:p>
    <w:p w14:paraId="4A8BF844" w14:textId="77777777" w:rsidR="008F57BE" w:rsidRDefault="002A6F3D">
      <w:pPr>
        <w:spacing w:line="6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本次公开招聘工作是全体职工展现知识才能、彰显精神风貌的人才盘点：</w:t>
      </w:r>
      <w:r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一是</w:t>
      </w:r>
      <w:r>
        <w:rPr>
          <w:rFonts w:ascii="仿宋_GB2312" w:eastAsia="仿宋_GB2312" w:hAnsi="Arial" w:cs="Arial" w:hint="eastAsia"/>
          <w:sz w:val="32"/>
          <w:szCs w:val="32"/>
        </w:rPr>
        <w:t>通过公司内部人才的轮换培养，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让本部战略引领、服务支撑意识与各单位专业人才在业务一线的执行力、创造力相碰撞。</w:t>
      </w:r>
      <w:r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二是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提供广大职工</w:t>
      </w:r>
      <w:r>
        <w:rPr>
          <w:rFonts w:ascii="仿宋_GB2312" w:eastAsia="仿宋_GB2312" w:hAnsi="Arial" w:cs="Arial" w:hint="eastAsia"/>
          <w:sz w:val="32"/>
          <w:szCs w:val="32"/>
        </w:rPr>
        <w:t>以实战展现个人风采、拓宽视野、精进自身本领的平台。</w:t>
      </w:r>
      <w:r>
        <w:rPr>
          <w:rFonts w:ascii="仿宋_GB2312" w:eastAsia="仿宋_GB2312" w:hAnsi="Arial" w:cs="Arial" w:hint="eastAsia"/>
          <w:bCs/>
          <w:sz w:val="32"/>
          <w:szCs w:val="32"/>
        </w:rPr>
        <w:t>三是</w:t>
      </w:r>
      <w:r>
        <w:rPr>
          <w:rFonts w:ascii="仿宋_GB2312" w:eastAsia="仿宋_GB2312" w:hAnsi="Arial" w:cs="Arial" w:hint="eastAsia"/>
          <w:sz w:val="32"/>
          <w:szCs w:val="32"/>
        </w:rPr>
        <w:t>发挥人才跨公司、跨部门、跨条线“螺旋式”上升的“催化剂”作用，实现人才良性流动，储备一支站位高、有思想、懂业务的复合型人才队伍。</w:t>
      </w:r>
    </w:p>
    <w:p w14:paraId="76C0198C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2.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本次公开招聘报名截止日期为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2024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年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5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月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31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日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12:00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。</w:t>
      </w:r>
    </w:p>
    <w:p w14:paraId="42A10FB0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lastRenderedPageBreak/>
        <w:t>3.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每位应聘者最多可报名参加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3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个岗位的招聘。</w:t>
      </w:r>
    </w:p>
    <w:p w14:paraId="37E3A848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4.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应聘者须在规定时间内按照要求将填写完成的《应聘报名表》（附件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一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-2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）签名扫描件及可编辑电子版、《个人信息备案表》（附件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一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-3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）可编辑电子版发送至邮箱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xdhr@xd.cee-group.cn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，邮件主题与附件名称均命名为“应聘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-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姓名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-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应聘岗位”。</w:t>
      </w:r>
    </w:p>
    <w:p w14:paraId="33BBA7BA" w14:textId="77777777" w:rsidR="008F57BE" w:rsidRDefault="008F57BE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</w:p>
    <w:p w14:paraId="411E4EAE" w14:textId="77777777" w:rsidR="008F57BE" w:rsidRDefault="002A6F3D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联系人：李雨欣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 xml:space="preserve"> 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豆琦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 xml:space="preserve">  029-88832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121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/88832</w:t>
      </w:r>
      <w:r>
        <w:rPr>
          <w:rFonts w:ascii="仿宋_GB2312" w:eastAsia="仿宋_GB2312" w:hAnsi="Microsoft YaHei UI" w:hint="eastAsia"/>
          <w:bCs/>
          <w:color w:val="333333"/>
          <w:spacing w:val="10"/>
          <w:sz w:val="32"/>
          <w:szCs w:val="32"/>
        </w:rPr>
        <w:t>086</w:t>
      </w:r>
    </w:p>
    <w:p w14:paraId="42BD4752" w14:textId="77777777" w:rsidR="008F57BE" w:rsidRDefault="008F57BE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</w:p>
    <w:p w14:paraId="7265F405" w14:textId="77777777" w:rsidR="008F57BE" w:rsidRDefault="008F57BE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</w:p>
    <w:p w14:paraId="4C4F5ED9" w14:textId="77777777" w:rsidR="008F57BE" w:rsidRDefault="002A6F3D">
      <w:pPr>
        <w:spacing w:line="560" w:lineRule="exact"/>
        <w:ind w:leftChars="-67" w:left="-141" w:rightChars="650" w:right="1365" w:firstLineChars="160" w:firstLine="512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中国西电集团、中国西电</w:t>
      </w:r>
    </w:p>
    <w:p w14:paraId="1BF68E90" w14:textId="77777777" w:rsidR="008F57BE" w:rsidRDefault="002A6F3D">
      <w:pPr>
        <w:spacing w:line="560" w:lineRule="exact"/>
        <w:ind w:leftChars="-67" w:left="-141" w:rightChars="650" w:right="1365" w:firstLineChars="160" w:firstLine="512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</w:t>
      </w:r>
      <w:r>
        <w:rPr>
          <w:rFonts w:eastAsia="仿宋_GB2312" w:hint="eastAsia"/>
          <w:sz w:val="32"/>
          <w:szCs w:val="32"/>
        </w:rPr>
        <w:t>人力资源部</w:t>
      </w:r>
    </w:p>
    <w:p w14:paraId="5CC7FB15" w14:textId="77777777" w:rsidR="008F57BE" w:rsidRDefault="002A6F3D">
      <w:pPr>
        <w:tabs>
          <w:tab w:val="left" w:pos="6804"/>
        </w:tabs>
        <w:wordWrap w:val="0"/>
        <w:spacing w:line="560" w:lineRule="exact"/>
        <w:ind w:leftChars="-67" w:left="-141" w:rightChars="718" w:right="1508" w:firstLineChars="160" w:firstLine="512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 xml:space="preserve"> </w:t>
      </w:r>
    </w:p>
    <w:p w14:paraId="7EF84D7C" w14:textId="77777777" w:rsidR="008F57BE" w:rsidRDefault="008F57BE">
      <w:pPr>
        <w:spacing w:line="660" w:lineRule="exact"/>
        <w:ind w:firstLineChars="200" w:firstLine="680"/>
        <w:rPr>
          <w:rFonts w:ascii="仿宋_GB2312" w:eastAsia="仿宋_GB2312" w:hAnsi="Microsoft YaHei UI"/>
          <w:bCs/>
          <w:color w:val="333333"/>
          <w:spacing w:val="10"/>
          <w:sz w:val="32"/>
          <w:szCs w:val="32"/>
        </w:rPr>
      </w:pPr>
    </w:p>
    <w:p w14:paraId="16C18DBA" w14:textId="77777777" w:rsidR="008F57BE" w:rsidRDefault="008F57BE">
      <w:pPr>
        <w:pStyle w:val="a7"/>
      </w:pPr>
    </w:p>
    <w:sectPr w:rsidR="008F57BE">
      <w:pgSz w:w="11850" w:h="16783"/>
      <w:pgMar w:top="1440" w:right="1800" w:bottom="1440" w:left="1800" w:header="720" w:footer="720" w:gutter="0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3154F" w14:textId="77777777" w:rsidR="00C540B9" w:rsidRDefault="00C540B9" w:rsidP="00C540B9">
      <w:pPr>
        <w:spacing w:line="240" w:lineRule="auto"/>
      </w:pPr>
      <w:r>
        <w:separator/>
      </w:r>
    </w:p>
  </w:endnote>
  <w:endnote w:type="continuationSeparator" w:id="0">
    <w:p w14:paraId="1E21C976" w14:textId="77777777" w:rsidR="00C540B9" w:rsidRDefault="00C540B9" w:rsidP="00C54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597E3" w14:textId="77777777" w:rsidR="00C540B9" w:rsidRDefault="00C540B9" w:rsidP="00C540B9">
      <w:pPr>
        <w:spacing w:line="240" w:lineRule="auto"/>
      </w:pPr>
      <w:r>
        <w:separator/>
      </w:r>
    </w:p>
  </w:footnote>
  <w:footnote w:type="continuationSeparator" w:id="0">
    <w:p w14:paraId="4E2F4D70" w14:textId="77777777" w:rsidR="00C540B9" w:rsidRDefault="00C540B9" w:rsidP="00C540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5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AB"/>
    <w:rsid w:val="000528C1"/>
    <w:rsid w:val="00060F36"/>
    <w:rsid w:val="0009394F"/>
    <w:rsid w:val="000D021B"/>
    <w:rsid w:val="001005CA"/>
    <w:rsid w:val="001562DD"/>
    <w:rsid w:val="00160ED9"/>
    <w:rsid w:val="00171CC1"/>
    <w:rsid w:val="001C62A8"/>
    <w:rsid w:val="001C7134"/>
    <w:rsid w:val="00203AB1"/>
    <w:rsid w:val="00273DE7"/>
    <w:rsid w:val="002A6F3D"/>
    <w:rsid w:val="002E12DF"/>
    <w:rsid w:val="00336EF5"/>
    <w:rsid w:val="003462EB"/>
    <w:rsid w:val="003D3271"/>
    <w:rsid w:val="00400EA3"/>
    <w:rsid w:val="00413820"/>
    <w:rsid w:val="0059547C"/>
    <w:rsid w:val="00614546"/>
    <w:rsid w:val="00614C8C"/>
    <w:rsid w:val="006730CB"/>
    <w:rsid w:val="00694874"/>
    <w:rsid w:val="006D10A4"/>
    <w:rsid w:val="006E3311"/>
    <w:rsid w:val="0072057B"/>
    <w:rsid w:val="00764AC9"/>
    <w:rsid w:val="008107AB"/>
    <w:rsid w:val="008F57BE"/>
    <w:rsid w:val="0097260C"/>
    <w:rsid w:val="009E7166"/>
    <w:rsid w:val="009F0BBA"/>
    <w:rsid w:val="00A761AF"/>
    <w:rsid w:val="00AB4A9B"/>
    <w:rsid w:val="00AC71B8"/>
    <w:rsid w:val="00AE061F"/>
    <w:rsid w:val="00B01E7F"/>
    <w:rsid w:val="00BD1426"/>
    <w:rsid w:val="00BE1520"/>
    <w:rsid w:val="00C01B00"/>
    <w:rsid w:val="00C20958"/>
    <w:rsid w:val="00C540B9"/>
    <w:rsid w:val="00C94A8F"/>
    <w:rsid w:val="00CC091C"/>
    <w:rsid w:val="00D70CC9"/>
    <w:rsid w:val="00D76AF3"/>
    <w:rsid w:val="00DA77EF"/>
    <w:rsid w:val="00E85FC5"/>
    <w:rsid w:val="00EE11BA"/>
    <w:rsid w:val="00F33C2A"/>
    <w:rsid w:val="00F35DB1"/>
    <w:rsid w:val="00FC7789"/>
    <w:rsid w:val="036D0895"/>
    <w:rsid w:val="04506123"/>
    <w:rsid w:val="09BB7E03"/>
    <w:rsid w:val="167A58EE"/>
    <w:rsid w:val="184F4570"/>
    <w:rsid w:val="18787932"/>
    <w:rsid w:val="1C756EBE"/>
    <w:rsid w:val="240E6C34"/>
    <w:rsid w:val="2B9C061A"/>
    <w:rsid w:val="2FE667B9"/>
    <w:rsid w:val="37ED4B88"/>
    <w:rsid w:val="456B71F2"/>
    <w:rsid w:val="470C691E"/>
    <w:rsid w:val="49EB34D3"/>
    <w:rsid w:val="4DDD288B"/>
    <w:rsid w:val="54B07EFF"/>
    <w:rsid w:val="557E1851"/>
    <w:rsid w:val="5AAB14CE"/>
    <w:rsid w:val="5C466CF1"/>
    <w:rsid w:val="5D3B2A81"/>
    <w:rsid w:val="5EC50D6B"/>
    <w:rsid w:val="62D068AA"/>
    <w:rsid w:val="692F7B9E"/>
    <w:rsid w:val="6C383399"/>
    <w:rsid w:val="6C806CAE"/>
    <w:rsid w:val="6F2A116E"/>
    <w:rsid w:val="72334969"/>
    <w:rsid w:val="7635037C"/>
    <w:rsid w:val="792451CB"/>
    <w:rsid w:val="79C9375B"/>
    <w:rsid w:val="79EF5B99"/>
    <w:rsid w:val="7F1F6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D36A5"/>
  <w15:docId w15:val="{3487D3C4-A6B9-4570-BE55-A7036D29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footnote text"/>
    <w:basedOn w:val="a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黑体" w:eastAsia="黑体" w:hAnsi="Courier New" w:cs="Courier New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206</Words>
  <Characters>1175</Characters>
  <Application>Microsoft Office Word</Application>
  <DocSecurity>0</DocSecurity>
  <Lines>9</Lines>
  <Paragraphs>2</Paragraphs>
  <ScaleCrop>false</ScaleCrop>
  <Company>Microsoft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中国西电集团、中国西电所属三家子企业</dc:title>
  <dc:creator>gd</dc:creator>
  <cp:lastModifiedBy>雨欣 李</cp:lastModifiedBy>
  <cp:revision>4</cp:revision>
  <cp:lastPrinted>2024-05-27T09:41:00Z</cp:lastPrinted>
  <dcterms:created xsi:type="dcterms:W3CDTF">2024-05-24T09:05:00Z</dcterms:created>
  <dcterms:modified xsi:type="dcterms:W3CDTF">2024-05-27T10:17:00Z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