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29" w:type="dxa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470"/>
        <w:gridCol w:w="1833"/>
        <w:gridCol w:w="601"/>
        <w:gridCol w:w="1156"/>
        <w:gridCol w:w="565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招聘人数 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岗位职责 </w:t>
            </w:r>
          </w:p>
        </w:tc>
        <w:tc>
          <w:tcPr>
            <w:tcW w:w="6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生源地 </w:t>
            </w:r>
          </w:p>
        </w:tc>
        <w:tc>
          <w:tcPr>
            <w:tcW w:w="11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专业 </w:t>
            </w:r>
          </w:p>
        </w:tc>
        <w:tc>
          <w:tcPr>
            <w:tcW w:w="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学历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学位 </w:t>
            </w:r>
          </w:p>
        </w:tc>
        <w:tc>
          <w:tcPr>
            <w:tcW w:w="17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其他要求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</w:trPr>
        <w:tc>
          <w:tcPr>
            <w:tcW w:w="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专项一处 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 w:firstLine="384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参与集中重点检查、专项检查等相关组织工作。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管理类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会计学专业 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 w:firstLine="352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中共党员；具有较强的写作和编辑能力，有一定的公文写作基础；具有较强的执行力，良好的沟通、协调和组织能力，团队意识较强。具有注册会计师资格者优先。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7" w:hRule="atLeast"/>
        </w:trPr>
        <w:tc>
          <w:tcPr>
            <w:tcW w:w="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专项二处 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 w:firstLine="384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参与监事会境外国有资产检查工作组织、外事保障等相关工作。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管理类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会计学专业 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 w:firstLine="352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中共党员；具有较强的写作和编辑能力，有一定的公文写作基础；具有较强的执行力，良好的沟通、协调和组织能力，团队意识较强。具有国际经济法教育背景者优先。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信息监测处 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 w:firstLine="384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参与监事会信息化等相关工作。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京内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生源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计算机类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>计算机应用技术专业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信息管理类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信息管理与信息系统专业 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本科 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beforeAutospacing="0" w:after="180" w:afterAutospacing="0"/>
              <w:ind w:left="0" w:right="0" w:firstLine="352"/>
              <w:jc w:val="left"/>
              <w:textAlignment w:val="center"/>
              <w:rPr>
                <w:i w:val="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u w:val="none"/>
                <w:bdr w:val="none" w:color="auto" w:sz="0" w:space="0"/>
                <w:lang w:val="en-US" w:eastAsia="zh-CN" w:bidi="ar"/>
              </w:rPr>
              <w:t xml:space="preserve">具有一定的公文写作基础；具有较强的执行力，良好的沟通、协调和组织能力，团队意识较强。具有会计基础知识者优先。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2018-03-01T07:24:26Z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