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3" w:type="dxa"/>
        <w:jc w:val="center"/>
        <w:tblCellSpacing w:w="15" w:type="dxa"/>
        <w:tblInd w:w="-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3156"/>
        <w:gridCol w:w="3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bdr w:val="none" w:color="auto" w:sz="0" w:space="0"/>
              </w:rPr>
              <w:t>主管单位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bdr w:val="none" w:color="auto" w:sz="0" w:space="0"/>
              </w:rPr>
              <w:t>事业单位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上海市嘉定区人民政府嘉定镇街道办事处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上海市嘉定区嘉定镇街道社区党建服务中心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基层党建管理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上海市嘉定区科学技术委员会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上海市嘉定区信息中心(上海市嘉定区社会保障卡服务中心)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网络运行与安全维护助理工程师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上海市嘉定区教育局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上海市嘉定区第一中学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卫生保健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上海市嘉定区教育局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上海市大众工业学校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卫生保健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上海市嘉定区建设和管理委员会（上海市嘉定区交通委员会）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上海市嘉定区建设工程安全质量监督站(上海市嘉定区建筑材料质量监督站、上海市嘉定区建设工程设计文件审查管理事务中心)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执法监督1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上海市嘉定区水务局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上海市嘉定区安亭镇水务管理所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水务工程员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上海市嘉定区水务局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上海市嘉定区马陆镇水务管理所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上海市嘉定区水务局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上海市嘉定区江桥镇水务管理所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水务工程员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上海市嘉定区水务局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上海市嘉定工业区水务管理所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水务工程员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上海市嘉定区水务局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上海市嘉定区菊园新区水务管理所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15" w:type="dxa"/>
          <w:jc w:val="center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上海市嘉定区卫生和计划生育委员会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156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上海市嘉定区中心医院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240" w:afterAutospacing="0" w:line="31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21914"/>
    <w:rsid w:val="27F2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2018-12-20T01:59:00Z</dcterms:created>
  <dc:creator>ASUS</dc:creator>
  <cp:lastModifiedBy>ASUS</cp:lastModifiedBy>
  <dcterms:modified xsi:type="dcterms:W3CDTF">2018-12-20T02:00:02Z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