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21" w:type="dxa"/>
        <w:jc w:val="center"/>
        <w:tblCellSpacing w:w="0" w:type="dxa"/>
        <w:tblInd w:w="-160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1" w:type="dxa"/>
            <w:shd w:val="clear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ascii="黑体" w:hAnsi="宋体" w:eastAsia="黑体" w:cs="黑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上海工程技术大学高等职业技术学院</w:t>
            </w:r>
            <w:r>
              <w:rPr>
                <w:rFonts w:hint="eastAsia" w:ascii="黑体" w:hAnsi="宋体" w:eastAsia="黑体" w:cs="黑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上海市高级技工学校</w:t>
            </w:r>
            <w:r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2018</w:t>
            </w:r>
            <w:r>
              <w:rPr>
                <w:rFonts w:hint="eastAsia" w:ascii="黑体" w:hAnsi="宋体" w:eastAsia="黑体" w:cs="黑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5</w:t>
            </w:r>
            <w:r>
              <w:rPr>
                <w:rFonts w:hint="eastAsia" w:ascii="黑体" w:hAnsi="宋体" w:eastAsia="黑体" w:cs="黑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月</w:t>
            </w:r>
            <w:bookmarkStart w:id="0" w:name="_GoBack"/>
            <w:r>
              <w:rPr>
                <w:rFonts w:hint="eastAsia" w:ascii="黑体" w:hAnsi="宋体" w:eastAsia="黑体" w:cs="黑体"/>
                <w:b/>
                <w:bCs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招聘计划</w:t>
            </w:r>
          </w:p>
          <w:bookmarkEnd w:id="0"/>
          <w:tbl>
            <w:tblPr>
              <w:tblW w:w="9218" w:type="dxa"/>
              <w:jc w:val="center"/>
              <w:tblInd w:w="114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8"/>
              <w:gridCol w:w="2270"/>
              <w:gridCol w:w="1701"/>
              <w:gridCol w:w="1135"/>
              <w:gridCol w:w="850"/>
              <w:gridCol w:w="18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4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部门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学科、专业（方向）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相关要求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岗位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人数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snapToGrid w:val="0"/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备注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240" w:lineRule="atLeast"/>
                    <w:jc w:val="center"/>
                  </w:pPr>
                  <w:r>
                    <w:rPr>
                      <w:snapToGrid w:val="0"/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9" w:hRule="atLeast"/>
                <w:jc w:val="center"/>
              </w:trPr>
              <w:tc>
                <w:tcPr>
                  <w:tcW w:w="14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机电工程系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机械电子工程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具有高级专业技术职务可放宽学历要求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5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电路与系统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具有高级专业技术职务可放宽学历要求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检测技术与自动化装置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具有高级专业技术职务可放宽学历要求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机械电子工程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实训指导教师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电路与系统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实训指导教师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电工理论与新技术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实训指导教师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电气工程及其自动化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实验技术人员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制造工程系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骨干教师</w:t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专业带头人，具有高级专业技术职务可适当放宽学历要求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实验技术人员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具有实验室管理经验者优先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  <w:jc w:val="center"/>
              </w:trPr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bdr w:val="none" w:color="auto" w:sz="0" w:space="0"/>
                    </w:rPr>
                    <w:t>机械工程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实训指导教师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具有高级工及以上职业资格或具有</w:t>
                  </w: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年以上相关企业工作经验优先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管理系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计算机应用/物联网/旅游管理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6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基础教学部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运筹学与控制论、概论统计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教师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snapToGrid w:val="0"/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8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图书馆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（档案室）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图书馆学/图书情报学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57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图书馆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（档案室）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档案学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要求中共党员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57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教务科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职业技术教育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5"/>
                      <w:szCs w:val="15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6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信息办公室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计算机科学技术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5"/>
                      <w:szCs w:val="15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6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学生科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心理专业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5"/>
                      <w:szCs w:val="15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6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资产管理科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信息管理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5"/>
                      <w:szCs w:val="15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工科背景专业优先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6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后勤保障中心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管理工程类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5"/>
                      <w:szCs w:val="15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工科背景专业优先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6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卫生所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临床医学-全科/外科方向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大学本科及以上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1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保卫科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计算机科学技术/安全工程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15"/>
                      <w:szCs w:val="15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1" w:hRule="atLeast"/>
                <w:jc w:val="center"/>
              </w:trPr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综合督导办公室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napToGrid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法学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教辅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color w:val="000000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8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5"/>
                      <w:szCs w:val="15"/>
                      <w:bdr w:val="none" w:color="auto" w:sz="0" w:space="0"/>
                    </w:rPr>
                    <w:t>通过国家司法考试者优先考虑</w:t>
                  </w:r>
                </w:p>
              </w:tc>
            </w:tr>
          </w:tbl>
          <w:p>
            <w:pPr>
              <w:jc w:val="left"/>
              <w:rPr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1" w:type="dxa"/>
            <w:shd w:val="clear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5"/>
                <w:szCs w:val="15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21B45"/>
    <w:rsid w:val="6D535020"/>
    <w:rsid w:val="745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2018-05-22T07:39:00Z</dcterms:created>
  <dc:creator>ASUS</dc:creator>
  <cp:lastModifiedBy>ASUS</cp:lastModifiedBy>
  <dcterms:modified xsi:type="dcterms:W3CDTF">2018-05-22T07:39:20Z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